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Н</w:t>
      </w:r>
      <w:r w:rsidR="0027707E">
        <w:rPr>
          <w:rFonts w:ascii="Arial" w:hAnsi="Arial" w:cs="Arial"/>
          <w:b/>
          <w:color w:val="auto"/>
          <w:sz w:val="32"/>
          <w:szCs w:val="32"/>
        </w:rPr>
        <w:t>ОВОМЕЛОВСКОГО</w:t>
      </w:r>
      <w:r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proofErr w:type="spellStart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Н</w:t>
      </w:r>
      <w:r w:rsidR="0027707E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овомеловского</w:t>
      </w:r>
      <w:proofErr w:type="spellEnd"/>
      <w:r w:rsidR="0027707E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ельсовета </w:t>
      </w:r>
      <w:proofErr w:type="spellStart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района</w:t>
      </w: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</w:t>
      </w:r>
      <w:proofErr w:type="gramStart"/>
      <w:r w:rsidRPr="00811BB5">
        <w:rPr>
          <w:rFonts w:ascii="Arial" w:hAnsi="Arial" w:cs="Arial"/>
          <w:sz w:val="24"/>
          <w:szCs w:val="24"/>
        </w:rPr>
        <w:t>»О</w:t>
      </w:r>
      <w:proofErr w:type="gramEnd"/>
      <w:r w:rsidRPr="00811BB5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="0027707E">
        <w:rPr>
          <w:rFonts w:ascii="Arial" w:hAnsi="Arial" w:cs="Arial"/>
          <w:sz w:val="24"/>
          <w:szCs w:val="24"/>
        </w:rPr>
        <w:t>овомеловский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</w:t>
      </w:r>
      <w:r w:rsidR="00BE295E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="0027707E">
        <w:rPr>
          <w:rFonts w:ascii="Arial" w:hAnsi="Arial" w:cs="Arial"/>
          <w:kern w:val="0"/>
          <w:sz w:val="24"/>
          <w:szCs w:val="24"/>
          <w:lang w:eastAsia="ru-RU"/>
        </w:rPr>
        <w:t>Новомеловского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kern w:val="0"/>
          <w:sz w:val="24"/>
          <w:szCs w:val="24"/>
          <w:lang w:eastAsia="ru-RU"/>
        </w:rPr>
        <w:t>2</w:t>
      </w:r>
      <w:r w:rsidR="00BE295E">
        <w:rPr>
          <w:rFonts w:ascii="Arial" w:hAnsi="Arial" w:cs="Arial"/>
          <w:kern w:val="0"/>
          <w:sz w:val="24"/>
          <w:szCs w:val="24"/>
          <w:lang w:eastAsia="ru-RU"/>
        </w:rPr>
        <w:t>6 февраля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20</w:t>
      </w:r>
      <w:r w:rsidR="00BE295E">
        <w:rPr>
          <w:rFonts w:ascii="Arial" w:hAnsi="Arial" w:cs="Arial"/>
          <w:kern w:val="0"/>
          <w:sz w:val="24"/>
          <w:szCs w:val="24"/>
          <w:lang w:eastAsia="ru-RU"/>
        </w:rPr>
        <w:t>20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года      №</w:t>
      </w:r>
      <w:r w:rsidR="00BE295E">
        <w:rPr>
          <w:rFonts w:ascii="Arial" w:hAnsi="Arial" w:cs="Arial"/>
          <w:kern w:val="0"/>
          <w:sz w:val="24"/>
          <w:szCs w:val="24"/>
          <w:lang w:eastAsia="ru-RU"/>
        </w:rPr>
        <w:t>108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proofErr w:type="spellStart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Н</w:t>
      </w:r>
      <w:r w:rsidR="0027707E">
        <w:rPr>
          <w:rFonts w:ascii="Arial" w:hAnsi="Arial" w:cs="Arial"/>
          <w:bCs/>
          <w:kern w:val="0"/>
          <w:sz w:val="24"/>
          <w:szCs w:val="24"/>
          <w:lang w:eastAsia="ru-RU"/>
        </w:rPr>
        <w:t>овомеловский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</w:t>
      </w:r>
      <w:proofErr w:type="spellStart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Горшеченского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proofErr w:type="spellStart"/>
      <w:r w:rsidR="00B64AD3">
        <w:rPr>
          <w:rFonts w:ascii="Arial" w:hAnsi="Arial" w:cs="Arial"/>
          <w:kern w:val="0"/>
          <w:sz w:val="24"/>
          <w:szCs w:val="24"/>
          <w:lang w:eastAsia="ru-RU"/>
        </w:rPr>
        <w:t>Н</w:t>
      </w:r>
      <w:r w:rsidR="0027707E">
        <w:rPr>
          <w:rFonts w:ascii="Arial" w:hAnsi="Arial" w:cs="Arial"/>
          <w:kern w:val="0"/>
          <w:sz w:val="24"/>
          <w:szCs w:val="24"/>
          <w:lang w:eastAsia="ru-RU"/>
        </w:rPr>
        <w:t>овомеловского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Arial" w:hAnsi="Arial" w:cs="Arial"/>
          <w:kern w:val="0"/>
          <w:sz w:val="24"/>
          <w:szCs w:val="24"/>
          <w:lang w:eastAsia="ru-RU"/>
        </w:rPr>
        <w:t>Н</w:t>
      </w:r>
      <w:r w:rsidR="0027707E">
        <w:rPr>
          <w:rFonts w:ascii="Arial" w:hAnsi="Arial" w:cs="Arial"/>
          <w:kern w:val="0"/>
          <w:sz w:val="24"/>
          <w:szCs w:val="24"/>
          <w:lang w:eastAsia="ru-RU"/>
        </w:rPr>
        <w:t>овомеловского</w:t>
      </w:r>
      <w:proofErr w:type="spellEnd"/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="0027707E">
        <w:rPr>
          <w:rFonts w:ascii="Arial" w:hAnsi="Arial" w:cs="Arial"/>
          <w:color w:val="000000"/>
          <w:sz w:val="24"/>
          <w:szCs w:val="24"/>
          <w:lang w:eastAsia="ru-RU"/>
        </w:rPr>
        <w:t>овомеловского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D3885" w:rsidRPr="007D3885">
        <w:rPr>
          <w:rFonts w:ascii="Arial" w:hAnsi="Arial" w:cs="Arial"/>
          <w:sz w:val="24"/>
          <w:szCs w:val="24"/>
          <w:lang w:val="en-US"/>
        </w:rPr>
        <w:t>http</w:t>
      </w:r>
      <w:r w:rsidR="007D3885" w:rsidRPr="007D3885">
        <w:rPr>
          <w:rFonts w:ascii="Arial" w:hAnsi="Arial" w:cs="Arial"/>
          <w:sz w:val="24"/>
          <w:szCs w:val="24"/>
        </w:rPr>
        <w:t>://</w:t>
      </w:r>
      <w:proofErr w:type="spellStart"/>
      <w:r w:rsidR="007D3885" w:rsidRPr="007D3885">
        <w:rPr>
          <w:rFonts w:ascii="Arial" w:hAnsi="Arial" w:cs="Arial"/>
          <w:sz w:val="24"/>
          <w:szCs w:val="24"/>
          <w:lang w:val="en-US"/>
        </w:rPr>
        <w:t>novomelovoe</w:t>
      </w:r>
      <w:proofErr w:type="spellEnd"/>
      <w:r w:rsidR="007D3885" w:rsidRPr="007D3885">
        <w:rPr>
          <w:rFonts w:ascii="Arial" w:hAnsi="Arial" w:cs="Arial"/>
          <w:sz w:val="24"/>
          <w:szCs w:val="24"/>
        </w:rPr>
        <w:t>.</w:t>
      </w:r>
      <w:proofErr w:type="spellStart"/>
      <w:r w:rsidR="007D3885" w:rsidRPr="007D388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D3885" w:rsidRPr="007D3885">
        <w:rPr>
          <w:rFonts w:ascii="Arial" w:hAnsi="Arial" w:cs="Arial"/>
          <w:sz w:val="24"/>
          <w:szCs w:val="24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27707E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874997" w:rsidRPr="006B40B8">
        <w:rPr>
          <w:rFonts w:ascii="Arial" w:hAnsi="Arial" w:cs="Arial"/>
          <w:sz w:val="24"/>
          <w:szCs w:val="24"/>
        </w:rPr>
        <w:t>Г</w:t>
      </w:r>
      <w:proofErr w:type="gramEnd"/>
      <w:r w:rsidR="00874997" w:rsidRPr="006B40B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ы </w:t>
      </w:r>
      <w:proofErr w:type="spellStart"/>
      <w:r>
        <w:rPr>
          <w:rFonts w:ascii="Arial" w:hAnsi="Arial" w:cs="Arial"/>
          <w:sz w:val="24"/>
          <w:szCs w:val="24"/>
        </w:rPr>
        <w:t>Новомеловского</w:t>
      </w:r>
      <w:proofErr w:type="spellEnd"/>
      <w:r w:rsidR="00874997"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2770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r w:rsidR="002770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07E">
        <w:rPr>
          <w:rFonts w:ascii="Arial" w:hAnsi="Arial" w:cs="Arial"/>
          <w:sz w:val="24"/>
          <w:szCs w:val="24"/>
        </w:rPr>
        <w:t>В.Ф.Буланцева</w:t>
      </w:r>
      <w:proofErr w:type="spellEnd"/>
    </w:p>
    <w:p w:rsidR="0027707E" w:rsidRDefault="0027707E" w:rsidP="0027707E">
      <w:pPr>
        <w:rPr>
          <w:rFonts w:ascii="Arial" w:hAnsi="Arial" w:cs="Arial"/>
          <w:sz w:val="24"/>
          <w:szCs w:val="24"/>
        </w:rPr>
      </w:pPr>
    </w:p>
    <w:p w:rsidR="0027707E" w:rsidRDefault="0027707E" w:rsidP="0027707E">
      <w:pPr>
        <w:rPr>
          <w:rFonts w:ascii="Arial" w:hAnsi="Arial" w:cs="Arial"/>
          <w:sz w:val="24"/>
          <w:szCs w:val="24"/>
        </w:rPr>
      </w:pPr>
    </w:p>
    <w:p w:rsidR="0027707E" w:rsidRDefault="0027707E" w:rsidP="0027707E">
      <w:pPr>
        <w:rPr>
          <w:rFonts w:ascii="Arial" w:hAnsi="Arial" w:cs="Arial"/>
          <w:sz w:val="24"/>
          <w:szCs w:val="24"/>
        </w:rPr>
      </w:pPr>
    </w:p>
    <w:p w:rsidR="0027707E" w:rsidRPr="00DB31E3" w:rsidRDefault="0027707E" w:rsidP="0027707E">
      <w:pPr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 w:rsidR="002770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7707E">
        <w:rPr>
          <w:rFonts w:ascii="Arial" w:hAnsi="Arial" w:cs="Arial"/>
          <w:color w:val="000000"/>
          <w:sz w:val="24"/>
          <w:szCs w:val="24"/>
          <w:lang w:eastAsia="ru-RU"/>
        </w:rPr>
        <w:t>Новомеловского</w:t>
      </w:r>
      <w:proofErr w:type="spellEnd"/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</w:t>
      </w:r>
      <w:r w:rsidR="0027707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27707E">
        <w:rPr>
          <w:rFonts w:ascii="Arial" w:hAnsi="Arial" w:cs="Arial"/>
          <w:b/>
          <w:sz w:val="24"/>
          <w:szCs w:val="24"/>
          <w:lang w:eastAsia="ru-RU"/>
        </w:rPr>
        <w:t>Новомеловского</w:t>
      </w:r>
      <w:proofErr w:type="spellEnd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>Муниципальный контроль в сфере благоустройства на территории</w:t>
      </w:r>
      <w:r w:rsidR="0027707E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27707E">
        <w:rPr>
          <w:rFonts w:ascii="Arial" w:eastAsia="Calibri" w:hAnsi="Arial" w:cs="Arial"/>
          <w:sz w:val="24"/>
          <w:szCs w:val="24"/>
          <w:u w:val="single"/>
        </w:rPr>
        <w:t>Новомеловского</w:t>
      </w:r>
      <w:proofErr w:type="spellEnd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>Горшеченского</w:t>
      </w:r>
      <w:proofErr w:type="spellEnd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в сфере благоустройства на территории</w:t>
      </w:r>
      <w:r w:rsidR="002770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7707E">
        <w:rPr>
          <w:rFonts w:ascii="Arial" w:hAnsi="Arial" w:cs="Arial"/>
          <w:sz w:val="24"/>
          <w:szCs w:val="24"/>
          <w:lang w:eastAsia="ru-RU"/>
        </w:rPr>
        <w:t>Новомеловского</w:t>
      </w:r>
      <w:proofErr w:type="spellEnd"/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7"/>
          <w:footerReference w:type="default" r:id="rId8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00A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1A00AA">
              <w:rPr>
                <w:rFonts w:ascii="Arial" w:hAnsi="Arial" w:cs="Arial"/>
                <w:sz w:val="24"/>
                <w:szCs w:val="24"/>
              </w:rPr>
              <w:t>очистка</w:t>
            </w:r>
            <w:proofErr w:type="gramEnd"/>
            <w:r w:rsidRPr="001A00AA">
              <w:rPr>
                <w:rFonts w:ascii="Arial" w:hAnsi="Arial" w:cs="Arial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BE295E" w:rsidP="00BE29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1A00AA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1A00AA">
              <w:rPr>
                <w:rFonts w:ascii="Arial" w:hAnsi="Arial" w:cs="Arial"/>
                <w:sz w:val="24"/>
                <w:szCs w:val="24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1A00AA" w:rsidRPr="001A00AA" w:rsidRDefault="00BE295E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 ли собственник или пользователь земельного </w:t>
            </w: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>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BD00C5" w:rsidRPr="001A00AA" w:rsidRDefault="00BE295E" w:rsidP="00BE295E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E29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BE29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 w:rsidR="00BE295E"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="00BE295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 w:rsidR="00BE295E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E29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BE295E" w:rsidRPr="001A00AA" w:rsidRDefault="00BE295E" w:rsidP="00BE295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BE295E" w:rsidP="00BE29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овомеловский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 февраля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96" w:rsidRDefault="00E50496" w:rsidP="00BD00C5">
      <w:r>
        <w:separator/>
      </w:r>
    </w:p>
  </w:endnote>
  <w:endnote w:type="continuationSeparator" w:id="1">
    <w:p w:rsidR="00E50496" w:rsidRDefault="00E50496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2766DF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96" w:rsidRDefault="00E50496" w:rsidP="00BD00C5">
      <w:r>
        <w:separator/>
      </w:r>
    </w:p>
  </w:footnote>
  <w:footnote w:type="continuationSeparator" w:id="1">
    <w:p w:rsidR="00E50496" w:rsidRDefault="00E50496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B1D9D"/>
    <w:rsid w:val="001A00AA"/>
    <w:rsid w:val="002766DF"/>
    <w:rsid w:val="0027707E"/>
    <w:rsid w:val="00314C06"/>
    <w:rsid w:val="004F2AA4"/>
    <w:rsid w:val="00542EFB"/>
    <w:rsid w:val="005A1CE1"/>
    <w:rsid w:val="005E72D6"/>
    <w:rsid w:val="00604304"/>
    <w:rsid w:val="007617D0"/>
    <w:rsid w:val="007D3885"/>
    <w:rsid w:val="00811BB5"/>
    <w:rsid w:val="00874997"/>
    <w:rsid w:val="00883FDA"/>
    <w:rsid w:val="00A63836"/>
    <w:rsid w:val="00AF11D0"/>
    <w:rsid w:val="00B64AD3"/>
    <w:rsid w:val="00B8782F"/>
    <w:rsid w:val="00BA39E6"/>
    <w:rsid w:val="00BD00C5"/>
    <w:rsid w:val="00BE295E"/>
    <w:rsid w:val="00C449F8"/>
    <w:rsid w:val="00CB32AE"/>
    <w:rsid w:val="00CE23A7"/>
    <w:rsid w:val="00E5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Новомеловое</cp:lastModifiedBy>
  <cp:revision>4</cp:revision>
  <cp:lastPrinted>2021-11-23T13:47:00Z</cp:lastPrinted>
  <dcterms:created xsi:type="dcterms:W3CDTF">2021-11-23T11:27:00Z</dcterms:created>
  <dcterms:modified xsi:type="dcterms:W3CDTF">2021-11-23T13:48:00Z</dcterms:modified>
</cp:coreProperties>
</file>